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Rule="auto"/>
              <w:ind w:right="283"/>
              <w:jc w:val="right"/>
              <w:rPr>
                <w:rFonts w:ascii="Arial" w:cs="Arial" w:eastAsia="Arial" w:hAnsi="Arial"/>
                <w:b w:val="1"/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szCs w:val="18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f3a38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26"/>
                <w:szCs w:val="26"/>
                <w:rtl w:val="0"/>
              </w:rPr>
              <w:t xml:space="preserve">Fatma CHERIF </w:t>
            </w:r>
          </w:p>
        </w:tc>
      </w:tr>
      <w:tr>
        <w:trPr>
          <w:trHeight w:val="2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f3a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rFonts w:ascii="Arial" w:cs="Arial" w:eastAsia="Arial" w:hAnsi="Arial"/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e4194"/>
                <w:sz w:val="18"/>
                <w:szCs w:val="18"/>
              </w:rPr>
              <w:drawing>
                <wp:inline distB="114300" distT="114300" distL="114300" distR="114300">
                  <wp:extent cx="1046163" cy="1012415"/>
                  <wp:effectExtent b="0" l="0" r="0" t="0"/>
                  <wp:docPr id="1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163" cy="1012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mallCaps w:val="1"/>
                <w:color w:val="0e4194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(Tunisia)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b="0" l="0" r="0" t="0"/>
                  <wp:wrapSquare wrapText="bothSides" distB="0" distT="0" distL="0" distR="71755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8218"/>
              </w:tabs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(+216) 20283580   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b="0" l="0" r="0" t="0"/>
                  <wp:wrapSquare wrapText="bothSides" distB="0" distT="0" distL="0" distR="71755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chrif.fatma@gmail.com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b="0" l="0" r="0" t="0"/>
                  <wp:wrapSquare wrapText="bothSides" distB="0" distT="0" distL="0" distR="71755"/>
                  <wp:docPr id="1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00"/>
                  <w:sz w:val="18"/>
                  <w:szCs w:val="18"/>
                  <w:u w:val="single"/>
                  <w:rtl w:val="0"/>
                </w:rPr>
                <w:t xml:space="preserve">https://www.linkedin.com/in/fatma-cherif-tn/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b="0" l="0" r="0" t="0"/>
                  <wp:wrapSquare wrapText="bothSides" distB="0" distT="0" distL="0" distR="71755"/>
                  <wp:docPr id="1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before="57" w:lineRule="auto"/>
              <w:ind w:right="283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e4194"/>
                <w:sz w:val="18"/>
                <w:szCs w:val="18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e4194"/>
                <w:sz w:val="18"/>
                <w:szCs w:val="18"/>
              </w:rPr>
              <w:drawing>
                <wp:inline distB="114300" distT="114300" distL="114300" distR="114300">
                  <wp:extent cx="249238" cy="249238"/>
                  <wp:effectExtent b="0" l="0" r="0" t="0"/>
                  <wp:docPr id="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8" cy="249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e4194"/>
                <w:sz w:val="18"/>
                <w:szCs w:val="18"/>
                <w:rtl w:val="0"/>
              </w:rPr>
              <w:t xml:space="preserve">  SUMMARY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Rule="auto"/>
              <w:ind w:right="283"/>
              <w:jc w:val="right"/>
              <w:rPr>
                <w:rFonts w:ascii="Arial" w:cs="Arial" w:eastAsia="Arial" w:hAnsi="Arial"/>
                <w:b w:val="1"/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Arial" w:cs="Arial" w:eastAsia="Arial" w:hAnsi="Arial"/>
                <w:color w:val="3f3a38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A servant leader, certified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f3a38"/>
                <w:sz w:val="18"/>
                <w:szCs w:val="18"/>
                <w:rtl w:val="0"/>
              </w:rPr>
              <w:t xml:space="preserve">Professional Scrum Master and certified Professional Scrum Product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 owner with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f3a38"/>
                <w:sz w:val="18"/>
                <w:szCs w:val="18"/>
                <w:rtl w:val="0"/>
              </w:rPr>
              <w:t xml:space="preserve">eleven years of experience</w:t>
            </w: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 in the technology field. Worked in several positions within multinational companies. Strong negotiation, organizational, and verbal communication skills. Excellent team player with strong leadership and mentoring skills.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rFonts w:ascii="Arial" w:cs="Arial" w:eastAsia="Arial" w:hAnsi="Arial"/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ind w:right="283"/>
              <w:rPr>
                <w:rFonts w:ascii="Arial" w:cs="Arial" w:eastAsia="Arial" w:hAnsi="Arial"/>
                <w:color w:val="402c24"/>
                <w:sz w:val="8"/>
                <w:szCs w:val="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</w:rPr>
              <w:drawing>
                <wp:inline distB="114300" distT="114300" distL="114300" distR="114300">
                  <wp:extent cx="239711" cy="238443"/>
                  <wp:effectExtent b="0" l="0" r="0" t="0"/>
                  <wp:docPr id="1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11" cy="2384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szCs w:val="18"/>
                <w:rtl w:val="0"/>
              </w:rPr>
              <w:t xml:space="preserve">WORK EXPERIENCE  </w:t>
            </w: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March 2019 - Present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                  Sep 2017–Jan 2019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22"/>
                <w:szCs w:val="22"/>
                <w:rtl w:val="0"/>
              </w:rPr>
              <w:t xml:space="preserve">Line solution manager &amp; Agile coach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85" w:before="57" w:lineRule="auto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rtl w:val="0"/>
              </w:rPr>
              <w:t xml:space="preserve">Sofiatechnologies, Tunis (Tunisia)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Coordinate information and activities between Mobile, Web, embedded, backend, hardware teams,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Track projects progress,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Analyze and manage risks,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Set project roadmap according to available resources and deadlines,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Identify, record, and manage changes in projects scopes,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Estimate and track projects cost,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Manage end-clients and ensure their satisfaction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Gather functional requirements from stakeholders,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Motivate collaborators,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Train engineers and organization in agile framework (Scrum, Kanban)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Guide collaborators on how to use Agile and Scrum practices and values ​to delight customers and to get the most out of self-organization,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Detect and resolve conflicts between collaborators,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after="56" w:before="28" w:lineRule="auto"/>
              <w:ind w:left="216" w:hanging="216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Coach scrum masters/product owners in efficient process techniques and best practices.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22"/>
                <w:szCs w:val="22"/>
                <w:rtl w:val="0"/>
              </w:rPr>
              <w:t xml:space="preserve">Project coordinator &amp; scrum master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5" w:before="57" w:lineRule="auto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rtl w:val="0"/>
              </w:rPr>
              <w:t xml:space="preserve">itemis Tunisie, Tunis (Tunisia) 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Coordinate executional tasks of several projects that span over Mobile, Web, embedded, backend, hardware, and mechanical design teams,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Track IoT projects progress and detect delivery risks,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Plan IoT projects work according to available resources and deadlines,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Improve usability of web applications and IoT products,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Reduce loss of information by writing relevant  technical documentation,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Identify, record, and manage changes in projects scopes,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Facilitate scrum events,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Guide collaborators on how to use Agile and Scrum practices and values ​to delight customers and to get the most out of self-organization,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Detect and resolve conflicts between collaborators.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Feb 2016–Aug 2017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22"/>
                <w:szCs w:val="22"/>
                <w:rtl w:val="0"/>
              </w:rPr>
              <w:t xml:space="preserve">Software Engineer Specialist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5" w:before="57" w:lineRule="auto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rtl w:val="0"/>
              </w:rPr>
              <w:t xml:space="preserve">FIS global, Tunis (Tunisia) 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Implement financial services in the MarketMap financial solution developed with C++,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Conduct meetings with business analysts to understand specifications,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Investigate the causes of non-conforming results and developed solutions,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Develop and automated test cases to improve test procedures,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Wrote detailed and well-structured test and configuration procedures,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Work with Agile/Scrum development process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Apr 2015–Jan 2016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22"/>
                <w:szCs w:val="22"/>
                <w:rtl w:val="0"/>
              </w:rPr>
              <w:t xml:space="preserve">Application and Support Engineer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5" w:before="57" w:lineRule="auto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rtl w:val="0"/>
              </w:rPr>
              <w:t xml:space="preserve">STMicroelectronics, Tunis (Tunisia) 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Support FAEs (Field Application Engineer) and STM32 micro-controllers forums’ users within 72 hours deadline,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Reproduce accurately hardware and software bugs then provided solutions for STM32 customers,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Interact with development team to analyze software bugs,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Increase the online support in STM32 microcontroller forums by 50% after a long-time of poor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Increase the number of issues reported in forums as it became a trustful channel of support for customers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Increase by 50% the number of issues reported for enhancement coming from forums.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Jun 2011–Apr 2015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22"/>
                <w:szCs w:val="22"/>
                <w:rtl w:val="0"/>
              </w:rPr>
              <w:t xml:space="preserve">Software Engineer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5" w:before="57" w:lineRule="auto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rtl w:val="0"/>
              </w:rPr>
              <w:t xml:space="preserve">STMicroelectronics, Tunis (Tunisia) 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Model with C++/SystemC library of registers at Transaction Level Model that accelerate test process on System On Chip platforms.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Develop Test modules to browse thoroughly implemented code and detect failures,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Write detailed specification documentation,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Support newcomer engineers and improved their autonomy.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Oct 2009–May 2011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22"/>
                <w:szCs w:val="22"/>
                <w:rtl w:val="0"/>
              </w:rPr>
              <w:t xml:space="preserve">CAD Engineer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5" w:before="57" w:lineRule="auto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rtl w:val="0"/>
              </w:rPr>
              <w:t xml:space="preserve">STMicroelectronics, Tunis (Tunisia) 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Develop with Skill++ the layouts of Parameterized Cells (manufacturing masks), which are electric configurable components.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Promote within six months to other tasks on new 32nm/14nm technology due to strong ability of multi-task.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In research phase of  new 32nm/14nm technology, check electric parameters of components.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Write new detailed documentation describing check process.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75.0" w:type="dxa"/>
        <w:jc w:val="righ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rFonts w:ascii="Arial" w:cs="Arial" w:eastAsia="Arial" w:hAnsi="Arial"/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widowControl w:val="0"/>
              <w:ind w:right="283"/>
              <w:rPr>
                <w:rFonts w:ascii="Arial" w:cs="Arial" w:eastAsia="Arial" w:hAnsi="Arial"/>
                <w:b w:val="1"/>
                <w:color w:val="402c24"/>
                <w:sz w:val="8"/>
                <w:szCs w:val="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</w:rPr>
              <w:drawing>
                <wp:inline distB="114300" distT="114300" distL="114300" distR="114300">
                  <wp:extent cx="277812" cy="277812"/>
                  <wp:effectExtent b="0" l="0" r="0" t="0"/>
                  <wp:docPr id="1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12" cy="2778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szCs w:val="18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6237"/>
        <w:gridCol w:w="1305"/>
        <w:tblGridChange w:id="0">
          <w:tblGrid>
            <w:gridCol w:w="2834"/>
            <w:gridCol w:w="6237"/>
            <w:gridCol w:w="1305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Sep 2006–Jun 2009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22"/>
                <w:szCs w:val="22"/>
                <w:rtl w:val="0"/>
              </w:rPr>
              <w:t xml:space="preserve">Electronics Engineering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jc w:val="right"/>
              <w:rPr>
                <w:rFonts w:ascii="Arial" w:cs="Arial" w:eastAsia="Arial" w:hAnsi="Arial"/>
                <w:color w:val="1593cb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1593cb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5" w:before="57" w:lineRule="auto"/>
              <w:rPr>
                <w:rFonts w:ascii="Arial" w:cs="Arial" w:eastAsia="Arial" w:hAnsi="Arial"/>
                <w:color w:val="3f3a3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rtl w:val="0"/>
              </w:rPr>
              <w:t xml:space="preserve">National School of engineers, Sfax, Sfax (Tunisia) </w:t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rFonts w:ascii="Arial" w:cs="Arial" w:eastAsia="Arial" w:hAnsi="Arial"/>
                <w:b w:val="1"/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ind w:right="283"/>
              <w:rPr>
                <w:rFonts w:ascii="Arial" w:cs="Arial" w:eastAsia="Arial" w:hAnsi="Arial"/>
                <w:color w:val="402c24"/>
                <w:sz w:val="8"/>
                <w:szCs w:val="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szCs w:val="18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szCs w:val="18"/>
              </w:rPr>
              <w:drawing>
                <wp:inline distB="114300" distT="114300" distL="114300" distR="114300">
                  <wp:extent cx="237808" cy="237808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8" cy="237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e4194"/>
                <w:sz w:val="18"/>
                <w:szCs w:val="18"/>
                <w:rtl w:val="0"/>
              </w:rPr>
              <w:t xml:space="preserve">PERSONAL SKILLS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1544"/>
        <w:gridCol w:w="1498"/>
        <w:gridCol w:w="1499"/>
        <w:gridCol w:w="1500"/>
        <w:gridCol w:w="1501"/>
        <w:tblGridChange w:id="0">
          <w:tblGrid>
            <w:gridCol w:w="2834"/>
            <w:gridCol w:w="1544"/>
            <w:gridCol w:w="1498"/>
            <w:gridCol w:w="1499"/>
            <w:gridCol w:w="1500"/>
            <w:gridCol w:w="1501"/>
          </w:tblGrid>
        </w:tblGridChange>
      </w:tblGrid>
      <w:tr>
        <w:trPr>
          <w:trHeight w:val="3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rFonts w:ascii="Arial" w:cs="Arial" w:eastAsia="Arial" w:hAnsi="Arial"/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rFonts w:ascii="Arial" w:cs="Arial" w:eastAsia="Arial" w:hAnsi="Arial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Foreign language(s)</w:t>
            </w:r>
          </w:p>
        </w:tc>
        <w:tc>
          <w:tcPr>
            <w:gridSpan w:val="2"/>
            <w:tcBorders>
              <w:top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e4194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4"/>
                <w:szCs w:val="14"/>
                <w:rtl w:val="0"/>
              </w:rPr>
              <w:t xml:space="preserve">UNDERSTANDING</w:t>
            </w:r>
          </w:p>
        </w:tc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e4194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4"/>
                <w:szCs w:val="14"/>
                <w:rtl w:val="0"/>
              </w:rPr>
              <w:t xml:space="preserve">SPEAKING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mallCaps w:val="1"/>
                <w:color w:val="0e4194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4"/>
                <w:szCs w:val="1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mallCaps w:val="1"/>
                <w:color w:val="0e4194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e4194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6"/>
                <w:szCs w:val="16"/>
                <w:rtl w:val="0"/>
              </w:rPr>
              <w:t xml:space="preserve">Listening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e4194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6"/>
                <w:szCs w:val="16"/>
                <w:rtl w:val="0"/>
              </w:rPr>
              <w:t xml:space="preserve">Reading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e4194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6"/>
                <w:szCs w:val="16"/>
                <w:rtl w:val="0"/>
              </w:rPr>
              <w:t xml:space="preserve">Spoken interaction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e4194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6"/>
                <w:szCs w:val="16"/>
                <w:rtl w:val="0"/>
              </w:rPr>
              <w:t xml:space="preserve">Spoken production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rFonts w:ascii="Arial" w:cs="Arial" w:eastAsia="Arial" w:hAnsi="Arial"/>
                <w:color w:val="4040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French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smallCaps w:val="1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English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B2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B2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smallCaps w:val="1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Arabic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C2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C2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jc w:val="center"/>
              <w:rPr>
                <w:rFonts w:ascii="Arial" w:cs="Arial" w:eastAsia="Arial" w:hAnsi="Arial"/>
                <w:smallCaps w:val="1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3f3a38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5"/>
                <w:szCs w:val="15"/>
                <w:rtl w:val="0"/>
              </w:rPr>
              <w:t xml:space="preserve">Levels: A1 and A2: Basic user - B1 and B2: Independent user - C1 and C2: Proficient user</w:t>
            </w:r>
          </w:p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e4194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Communication skills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Strong communication skills gained through experience and several trainings: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Active Listening: May 2017, Smart Future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Certification of technician in hypnotherapy and Pedo-Hypnotherapy: June, 2014, Ecole de formation Professionnelle en Hypnotisme du Québec en Tunisie.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Certification of practitioner in Neuro Linguistic Programming (NLP): March, 2011,  AL-HAKIM center.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Negotiation, Lobbying, Techniques of non-violent communication: March 2015, Search For Common Ground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Emotional intelligence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The Pathway to Excellence, Ten keys of success: 2008, Canadian Training Center of Human Development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Organisational / managerial skills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rPr>
                <w:rFonts w:ascii="Arial" w:cs="Arial" w:eastAsia="Arial" w:hAnsi="Arial"/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Good organisational skills - currently coordinating work between several teams, gained through experience and trainings: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Certification Professional Scrum Product Owner: December, 2019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Certification Professional Scrum Master: December, 2018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(Link)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Stress management: December, 2010, Ariane Management and RH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Management of time and priorities: October, 2010, AL-HAKIM center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rFonts w:ascii="Arial" w:cs="Arial" w:eastAsia="Arial" w:hAnsi="Arial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e4194"/>
                <w:sz w:val="18"/>
                <w:szCs w:val="18"/>
                <w:rtl w:val="0"/>
              </w:rPr>
              <w:t xml:space="preserve">Job-related skills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Agile projects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Usability and Design Thinking trainings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3D printing of mechanical prototypes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System Versioning: Git, Source Safe, Synchronicity, SVN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6" w:before="28" w:lineRule="auto"/>
              <w:ind w:left="216" w:hanging="216"/>
              <w:rPr>
                <w:color w:val="3f3a38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f3a38"/>
                <w:sz w:val="18"/>
                <w:szCs w:val="18"/>
                <w:rtl w:val="0"/>
              </w:rPr>
              <w:t xml:space="preserve">Tools: Cadence, Virtualizer, STM32CubeMx, Keil, IAR Embedded Workbench, SW4STM32, VMware, Visual Studio, Jira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3f3a38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/>
      <w:pgMar w:bottom="1474" w:top="1927" w:left="850" w:right="680" w:header="68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835"/>
        <w:tab w:val="right" w:pos="10375"/>
      </w:tabs>
      <w:rPr>
        <w:rFonts w:ascii="Arial" w:cs="Arial" w:eastAsia="Arial" w:hAnsi="Arial"/>
        <w:color w:val="1593cb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3f3a38"/>
        <w:sz w:val="16"/>
        <w:szCs w:val="16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835"/>
        <w:tab w:val="right" w:pos="10375"/>
      </w:tabs>
      <w:rPr>
        <w:rFonts w:ascii="Arial" w:cs="Arial" w:eastAsia="Arial" w:hAnsi="Arial"/>
        <w:color w:val="1593cb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835"/>
        <w:tab w:val="right" w:pos="10205"/>
      </w:tabs>
      <w:spacing w:before="329" w:lineRule="auto"/>
      <w:rPr>
        <w:rFonts w:ascii="Arial" w:cs="Arial" w:eastAsia="Arial" w:hAnsi="Arial"/>
        <w:color w:val="1593cb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b="0" l="0" r="0" t="0"/>
          <wp:wrapSquare wrapText="bothSides" distB="0" distT="0" distL="0" distR="0"/>
          <wp:docPr id="20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6075" cy="463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103"/>
        <w:tab w:val="right" w:pos="10206"/>
      </w:tabs>
      <w:rPr>
        <w:rFonts w:ascii="Arial" w:cs="Arial" w:eastAsia="Arial" w:hAnsi="Arial"/>
        <w:color w:val="3f3a38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3f3a38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216" w:hanging="216"/>
      </w:pPr>
      <w:rPr>
        <w:rFonts w:ascii="Quattrocento Sans" w:cs="Quattrocento Sans" w:eastAsia="Quattrocento Sans" w:hAnsi="Quattrocento Sans"/>
        <w:vertAlign w:val="baseline"/>
      </w:rPr>
    </w:lvl>
    <w:lvl w:ilvl="1">
      <w:start w:val="1"/>
      <w:numFmt w:val="bullet"/>
      <w:lvlText w:val="▫"/>
      <w:lvlJc w:val="left"/>
      <w:pPr>
        <w:ind w:left="432" w:hanging="216"/>
      </w:pPr>
      <w:rPr>
        <w:rFonts w:ascii="Quattrocento Sans" w:cs="Quattrocento Sans" w:eastAsia="Quattrocento Sans" w:hAnsi="Quattrocento Sans"/>
        <w:vertAlign w:val="baseline"/>
      </w:rPr>
    </w:lvl>
    <w:lvl w:ilvl="2">
      <w:start w:val="1"/>
      <w:numFmt w:val="bullet"/>
      <w:lvlText w:val="▪"/>
      <w:lvlJc w:val="left"/>
      <w:pPr>
        <w:ind w:left="648" w:hanging="216.00000000000006"/>
      </w:pPr>
      <w:rPr>
        <w:rFonts w:ascii="Quattrocento Sans" w:cs="Quattrocento Sans" w:eastAsia="Quattrocento Sans" w:hAnsi="Quattrocento Sans"/>
        <w:vertAlign w:val="baseline"/>
      </w:rPr>
    </w:lvl>
    <w:lvl w:ilvl="3">
      <w:start w:val="1"/>
      <w:numFmt w:val="bullet"/>
      <w:lvlText w:val="▫"/>
      <w:lvlJc w:val="left"/>
      <w:pPr>
        <w:ind w:left="864" w:hanging="215"/>
      </w:pPr>
      <w:rPr>
        <w:rFonts w:ascii="Quattrocento Sans" w:cs="Quattrocento Sans" w:eastAsia="Quattrocento Sans" w:hAnsi="Quattrocento Sans"/>
        <w:vertAlign w:val="baseline"/>
      </w:rPr>
    </w:lvl>
    <w:lvl w:ilvl="4">
      <w:start w:val="1"/>
      <w:numFmt w:val="bullet"/>
      <w:lvlText w:val="▪"/>
      <w:lvlJc w:val="left"/>
      <w:pPr>
        <w:ind w:left="1080" w:hanging="216"/>
      </w:pPr>
      <w:rPr>
        <w:rFonts w:ascii="Quattrocento Sans" w:cs="Quattrocento Sans" w:eastAsia="Quattrocento Sans" w:hAnsi="Quattrocento Sans"/>
        <w:vertAlign w:val="baseline"/>
      </w:rPr>
    </w:lvl>
    <w:lvl w:ilvl="5">
      <w:start w:val="1"/>
      <w:numFmt w:val="bullet"/>
      <w:lvlText w:val="▫"/>
      <w:lvlJc w:val="left"/>
      <w:pPr>
        <w:ind w:left="1296" w:hanging="216"/>
      </w:pPr>
      <w:rPr>
        <w:rFonts w:ascii="Quattrocento Sans" w:cs="Quattrocento Sans" w:eastAsia="Quattrocento Sans" w:hAnsi="Quattrocento Sans"/>
        <w:vertAlign w:val="baseline"/>
      </w:rPr>
    </w:lvl>
    <w:lvl w:ilvl="6">
      <w:start w:val="1"/>
      <w:numFmt w:val="bullet"/>
      <w:lvlText w:val="▪"/>
      <w:lvlJc w:val="left"/>
      <w:pPr>
        <w:ind w:left="1512" w:hanging="216"/>
      </w:pPr>
      <w:rPr>
        <w:rFonts w:ascii="Quattrocento Sans" w:cs="Quattrocento Sans" w:eastAsia="Quattrocento Sans" w:hAnsi="Quattrocento Sans"/>
        <w:vertAlign w:val="baseline"/>
      </w:rPr>
    </w:lvl>
    <w:lvl w:ilvl="7">
      <w:start w:val="1"/>
      <w:numFmt w:val="bullet"/>
      <w:lvlText w:val="▫"/>
      <w:lvlJc w:val="left"/>
      <w:pPr>
        <w:ind w:left="1728" w:hanging="215"/>
      </w:pPr>
      <w:rPr>
        <w:rFonts w:ascii="Quattrocento Sans" w:cs="Quattrocento Sans" w:eastAsia="Quattrocento Sans" w:hAnsi="Quattrocento Sans"/>
        <w:vertAlign w:val="baseline"/>
      </w:rPr>
    </w:lvl>
    <w:lvl w:ilvl="8">
      <w:start w:val="1"/>
      <w:numFmt w:val="bullet"/>
      <w:lvlText w:val="▪"/>
      <w:lvlJc w:val="left"/>
      <w:pPr>
        <w:ind w:left="1944" w:hanging="216"/>
      </w:pPr>
      <w:rPr>
        <w:rFonts w:ascii="Quattrocento Sans" w:cs="Quattrocento Sans" w:eastAsia="Quattrocento Sans" w:hAnsi="Quattrocento San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ind w:left="432" w:hanging="432"/>
    </w:pPr>
    <w:rPr>
      <w:rFonts w:ascii="Arial" w:cs="Arial" w:eastAsia="Arial" w:hAnsi="Arial"/>
      <w:b w:val="1"/>
      <w:color w:val="3f3a38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ind w:left="576" w:hanging="576"/>
    </w:pPr>
    <w:rPr>
      <w:rFonts w:ascii="Arial" w:cs="Arial" w:eastAsia="Arial" w:hAnsi="Arial"/>
      <w:b w:val="1"/>
      <w:i w:val="1"/>
      <w:color w:val="3f3a38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ind w:left="432" w:hanging="432"/>
      <w:outlineLvl w:val="0"/>
    </w:pPr>
    <w:rPr>
      <w:rFonts w:ascii="Arial" w:cs="Arial" w:eastAsia="Arial" w:hAnsi="Arial"/>
      <w:b w:val="1"/>
      <w:color w:val="3f3a38"/>
      <w:sz w:val="32"/>
      <w:szCs w:val="32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ind w:left="576" w:hanging="576"/>
      <w:outlineLvl w:val="1"/>
    </w:pPr>
    <w:rPr>
      <w:rFonts w:ascii="Arial" w:cs="Arial" w:eastAsia="Arial" w:hAnsi="Arial"/>
      <w:b w:val="1"/>
      <w:i w:val="1"/>
      <w:color w:val="3f3a38"/>
      <w:sz w:val="28"/>
      <w:szCs w:val="28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phedeliste">
    <w:name w:val="List Paragraph"/>
    <w:basedOn w:val="Normal"/>
    <w:uiPriority w:val="34"/>
    <w:qFormat w:val="1"/>
    <w:rsid w:val="002D68E7"/>
    <w:pPr>
      <w:spacing w:line="276" w:lineRule="auto"/>
      <w:ind w:left="720"/>
      <w:contextualSpacing w:val="1"/>
    </w:pPr>
    <w:rPr>
      <w:rFonts w:ascii="Lato" w:cs="Lato" w:eastAsia="Lato" w:hAnsi="Lato"/>
      <w:sz w:val="22"/>
      <w:szCs w:val="22"/>
      <w:lang w:eastAsia="fr-FR" w:val="fr"/>
    </w:rPr>
  </w:style>
  <w:style w:type="character" w:styleId="Lienhypertexte">
    <w:name w:val="Hyperlink"/>
    <w:basedOn w:val="Policepardfaut"/>
    <w:uiPriority w:val="99"/>
    <w:unhideWhenUsed w:val="1"/>
    <w:rsid w:val="002D68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2D68E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hyperlink" Target="https://www.linkedin.com/in/fatma-cherif-tn/" TargetMode="External"/><Relationship Id="rId22" Type="http://schemas.openxmlformats.org/officeDocument/2006/relationships/footer" Target="footer3.xml"/><Relationship Id="rId10" Type="http://schemas.openxmlformats.org/officeDocument/2006/relationships/image" Target="media/image8.png"/><Relationship Id="rId21" Type="http://schemas.openxmlformats.org/officeDocument/2006/relationships/header" Target="header2.xml"/><Relationship Id="rId13" Type="http://schemas.openxmlformats.org/officeDocument/2006/relationships/image" Target="media/image4.png"/><Relationship Id="rId24" Type="http://schemas.openxmlformats.org/officeDocument/2006/relationships/footer" Target="footer1.xml"/><Relationship Id="rId12" Type="http://schemas.openxmlformats.org/officeDocument/2006/relationships/image" Target="media/image6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5.png"/><Relationship Id="rId14" Type="http://schemas.openxmlformats.org/officeDocument/2006/relationships/image" Target="media/image7.png"/><Relationship Id="rId17" Type="http://schemas.openxmlformats.org/officeDocument/2006/relationships/hyperlink" Target="https://www.scrum.org/certificates/488572" TargetMode="Externa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scrum.org/certificates/370454" TargetMode="External"/><Relationship Id="rId7" Type="http://schemas.openxmlformats.org/officeDocument/2006/relationships/image" Target="media/image10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/CD9u7AnbdR9C7WtYWMKsKBzSw==">AMUW2mVP1bxMfe5S/lA8o6AMc/yMFLurSOBze7M1EiM4nLBlYEnmJX9S9uhJ7W1Ecxfq0S81VwBVtLIQ/a/iJ/hCCQtEkQGr2LVI1PN2BuOCvcRGGBVZHEo1HINPZ9euP9/anx+EVBd3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2020-02-10T13:55:00Z</dcterms:created>
</cp:coreProperties>
</file>